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03307BC" wp14:paraId="2EB7E210" wp14:textId="3C65751F">
      <w:pPr>
        <w:spacing w:after="160" w:line="256" w:lineRule="auto"/>
        <w:jc w:val="center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6B32A01">
        <w:drawing>
          <wp:inline xmlns:wp14="http://schemas.microsoft.com/office/word/2010/wordprocessingDrawing" wp14:editId="58C5D748" wp14:anchorId="72C894B6">
            <wp:extent cx="3057525" cy="1571625"/>
            <wp:effectExtent l="0" t="0" r="0" b="0"/>
            <wp:docPr id="372302388" name="" descr="A black background with white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9cc54a831d4b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03307BC" wp14:paraId="2BF11DE7" wp14:textId="42482D0B">
      <w:pPr>
        <w:pStyle w:val="Heading1"/>
        <w:keepNext w:val="1"/>
        <w:keepLines w:val="1"/>
        <w:spacing w:before="240" w:after="0" w:line="240" w:lineRule="auto"/>
        <w:jc w:val="center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LONDON SAMPLE INTERNSHIP LIST BUSINESS</w:t>
      </w:r>
    </w:p>
    <w:p xmlns:wp14="http://schemas.microsoft.com/office/word/2010/wordml" w:rsidP="503307BC" wp14:paraId="0D69ECDB" wp14:textId="1BDFECCC">
      <w:pPr>
        <w:spacing w:after="160" w:line="256" w:lineRule="auto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3307BC" wp14:paraId="6361D885" wp14:textId="0841FFA4">
      <w:pPr>
        <w:spacing w:after="160" w:line="256" w:lineRule="auto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INDUSTRY DESCRIPTION</w:t>
      </w:r>
    </w:p>
    <w:p xmlns:wp14="http://schemas.microsoft.com/office/word/2010/wordml" w:rsidP="61A25183" wp14:paraId="64B2E5EC" wp14:textId="1CA510F5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London is a major centre for domestic and international business and has one of the largest city economies in the world. With enterprises that range from small 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start-up businesses through to multinational leaders in the business world, the range of opportunities is vast. Applicants that are seeking business placements should have 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good communication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skills and be confident in prioritising workloads and working tow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ards deadlines in a busy, often fast-paced environment and working both independently and in group settings. A student’s academic background and prior work experience will play a key role in 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determining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type of placement opportunities available. Studen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ts should 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indicate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in their application if there is a particular field/area of business that they are interested in 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and also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if they 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have a preference for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1A25183" w:rsidR="2446E86F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entrepreneurial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start-up businesses or more established companies.</w:t>
      </w:r>
    </w:p>
    <w:p xmlns:wp14="http://schemas.microsoft.com/office/word/2010/wordml" w:rsidP="503307BC" wp14:paraId="4ED9D195" wp14:textId="36D4F429">
      <w:pPr>
        <w:spacing w:after="160" w:line="256" w:lineRule="auto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EXAMPLES OF PAST PLACEMENTS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xmlns:wp14="http://schemas.microsoft.com/office/word/2010/wordml" w:rsidP="61A25183" wp14:paraId="2D64FBDF" wp14:textId="1FA3FA4F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Please note th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at the following sites are a brief cross-section of current CEA CAPA internship host sites and should not be considered as a guaranteed location for your placement. All internship placements will be dependent upon each individual applica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nt’s application documents, prior experiences, 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demonstrated</w:t>
      </w:r>
      <w:r w:rsidRPr="61A25183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skills and their aspirations and goals.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503307BC" w:rsidTr="38C1A015" w14:paraId="27A966FF">
        <w:trPr>
          <w:trHeight w:val="1110"/>
        </w:trPr>
        <w:tc>
          <w:tcPr>
            <w:tcW w:w="4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503307BC" w:rsidP="503307BC" w:rsidRDefault="503307BC" w14:paraId="3F144A85" w14:textId="074E8009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Let Me Play</w:t>
            </w:r>
          </w:p>
          <w:p w:rsidR="503307BC" w:rsidP="503307BC" w:rsidRDefault="503307BC" w14:paraId="75F52533" w14:textId="2CBAA85D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="503307BC">
              <w:drawing>
                <wp:inline wp14:editId="17213C78" wp14:anchorId="2066DD39">
                  <wp:extent cx="1914525" cy="714375"/>
                  <wp:effectExtent l="0" t="0" r="0" b="0"/>
                  <wp:docPr id="7098697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562b4652754d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top"/>
          </w:tcPr>
          <w:p w:rsidR="503307BC" w:rsidP="38C1A015" w:rsidRDefault="503307BC" w14:paraId="28A07A4E" w14:textId="46A7B21D">
            <w:pPr>
              <w:spacing w:line="256" w:lineRule="auto"/>
              <w:jc w:val="both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The LMP Group is made up of 3 separate companies but with a collective mission to inspire ambition. LMP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provides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opportunities and supports so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cial change across the UK. The focus is on education and social impact; working together to bring about positive and sustainable development. The companies include Let Me Play Ltd. which trades as LMP Education, Inspire ATA Ltd. and LMP Action C.I.C. The v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arious departments within these 3 companies serve schools,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businesses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and individuals across the UK through apprenticeships, employability programmes, adult education, alternative education,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enrichment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and holiday camp.</w:t>
            </w:r>
            <w:r w:rsidRPr="38C1A015" w:rsidR="46140A96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 Internship opportunities exist within </w:t>
            </w:r>
            <w:r w:rsidRPr="38C1A015" w:rsidR="3CF73E95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o</w:t>
            </w:r>
            <w:r w:rsidRPr="38C1A015" w:rsidR="46140A96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perations, HR/</w:t>
            </w:r>
            <w:r w:rsidRPr="38C1A015" w:rsidR="19593951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r</w:t>
            </w:r>
            <w:r w:rsidRPr="38C1A015" w:rsidR="46140A96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ecruitment, </w:t>
            </w:r>
            <w:r w:rsidRPr="38C1A015" w:rsidR="4C4770D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m</w:t>
            </w:r>
            <w:r w:rsidRPr="38C1A015" w:rsidR="46140A96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arketing, and more.</w:t>
            </w:r>
          </w:p>
        </w:tc>
      </w:tr>
      <w:tr w:rsidR="503307BC" w:rsidTr="38C1A015" w14:paraId="28882DFF">
        <w:trPr>
          <w:trHeight w:val="765"/>
        </w:trPr>
        <w:tc>
          <w:tcPr>
            <w:tcW w:w="4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503307BC" w:rsidP="503307BC" w:rsidRDefault="503307BC" w14:paraId="456AA644" w14:textId="474AEE77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03307BC" w:rsidP="503307BC" w:rsidRDefault="503307BC" w14:paraId="6690818B" w14:textId="66130CF1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03307BC" w:rsidP="503307BC" w:rsidRDefault="503307BC" w14:paraId="7E2FF983" w14:textId="5939B5F4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03307BC" w:rsidP="503307BC" w:rsidRDefault="503307BC" w14:paraId="0D4456BF" w14:textId="1093E605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Nemi Teas</w:t>
            </w:r>
          </w:p>
          <w:p w:rsidR="503307BC" w:rsidP="503307BC" w:rsidRDefault="503307BC" w14:paraId="0136C0F1" w14:textId="5C529DC8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="503307BC">
              <w:drawing>
                <wp:inline wp14:editId="62D92AC8" wp14:anchorId="7A641EE5">
                  <wp:extent cx="1104900" cy="1171575"/>
                  <wp:effectExtent l="0" t="0" r="0" b="0"/>
                  <wp:docPr id="3417860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8f13a8d22b149c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top"/>
          </w:tcPr>
          <w:p w:rsidR="503307BC" w:rsidP="38C1A015" w:rsidRDefault="503307BC" w14:paraId="5AD0C189" w14:textId="46ED3C79">
            <w:pPr>
              <w:pStyle w:val="Normal"/>
              <w:spacing w:line="256" w:lineRule="auto"/>
              <w:jc w:val="both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Nemi Teas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is a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London-based tea company offering a variety of whole leaf tea blends as loose tea and in biodegradable tea pyramids along with a Chai Syrup for chai lattes, iced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GB"/>
              </w:rPr>
              <w:t>teas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and chai cocktails! They are strong believers in creating positive change through busines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s and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provide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employment to refugees to help them better integrate in the UK. They employ refugees to run tea stalls across London food markets, festivals,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events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and conferences which allows refugees to boost their English skills, regain confidence and wo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rk on skills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required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to enter the UK job market. They also employ them within their business to perform commercial roles including sales &amp; marketing, events,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packaging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and distribution.</w:t>
            </w:r>
            <w:r w:rsidRPr="38C1A015" w:rsidR="5DA4CBF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 Interns can undertake a mix of tasks covering </w:t>
            </w:r>
            <w:r w:rsidRPr="38C1A015" w:rsidR="435DD4F9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</w:t>
            </w:r>
            <w:r w:rsidRPr="38C1A015" w:rsidR="5DA4CBF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usiness </w:t>
            </w:r>
            <w:r w:rsidRPr="38C1A015" w:rsidR="4455164D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</w:t>
            </w:r>
            <w:r w:rsidRPr="38C1A015" w:rsidR="5DA4CBF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evelopment, </w:t>
            </w:r>
            <w:r w:rsidRPr="38C1A015" w:rsidR="72F3D9BA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</w:t>
            </w:r>
            <w:r w:rsidRPr="38C1A015" w:rsidR="5DA4CBF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artnership </w:t>
            </w:r>
            <w:r w:rsidRPr="38C1A015" w:rsidR="183A9203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</w:t>
            </w:r>
            <w:r w:rsidRPr="38C1A015" w:rsidR="5DA4CBF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uilding, </w:t>
            </w:r>
            <w:r w:rsidRPr="38C1A015" w:rsidR="7343AD33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f</w:t>
            </w:r>
            <w:r w:rsidRPr="38C1A015" w:rsidR="5DA4CBF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inance, </w:t>
            </w:r>
            <w:r w:rsidRPr="38C1A015" w:rsidR="19462C8B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m</w:t>
            </w:r>
            <w:r w:rsidRPr="38C1A015" w:rsidR="5DA4CBF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arketing, and </w:t>
            </w:r>
            <w:r w:rsidRPr="38C1A015" w:rsidR="74117C28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</w:t>
            </w:r>
            <w:r w:rsidRPr="38C1A015" w:rsidR="5DA4CBF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vents.</w:t>
            </w:r>
          </w:p>
        </w:tc>
      </w:tr>
      <w:tr w:rsidR="503307BC" w:rsidTr="38C1A015" w14:paraId="242DB056">
        <w:trPr>
          <w:trHeight w:val="765"/>
        </w:trPr>
        <w:tc>
          <w:tcPr>
            <w:tcW w:w="4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503307BC" w:rsidP="503307BC" w:rsidRDefault="503307BC" w14:paraId="30D76F49" w14:textId="0368155E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E2E</w:t>
            </w:r>
          </w:p>
          <w:p w:rsidR="503307BC" w:rsidP="503307BC" w:rsidRDefault="503307BC" w14:paraId="2DC1033C" w14:textId="04181F58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="503307BC">
              <w:drawing>
                <wp:inline wp14:editId="4F74DD5A" wp14:anchorId="3512D886">
                  <wp:extent cx="1619250" cy="657225"/>
                  <wp:effectExtent l="0" t="0" r="0" b="0"/>
                  <wp:docPr id="1731731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0111de62ef4ed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03307BC" w:rsidP="38C1A015" w:rsidRDefault="503307BC" w14:paraId="0E070A22" w14:textId="25430AD1">
            <w:pPr>
              <w:spacing w:line="256" w:lineRule="auto"/>
              <w:jc w:val="both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E2E’s vision is to enable extraordinary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entrepreneurship. E2E aims to be the main catalyst for economic growth first in the U.K. and then internationally. E2E offers one platform where entrepreneurs can find the right advice, support,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people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and finance to give their enterprise the best chance o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f success. They focus on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facilitating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strong links between scale up founders, investors, non-executive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directors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and corporates. They are also proud to have world class entrepreneurs sharing their experience and wisdom with our community creating extraordi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nary connections for entrepreneurs.</w:t>
            </w:r>
            <w:r w:rsidRPr="38C1A015" w:rsidR="25667D2F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 </w:t>
            </w:r>
            <w:r w:rsidRPr="38C1A015" w:rsidR="56D65859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Intern roles include helping internationalise the business, attracting and engaging potential investors, data analysis</w:t>
            </w:r>
            <w:r w:rsidRPr="38C1A015" w:rsidR="0677C615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, operations, and events.</w:t>
            </w:r>
          </w:p>
        </w:tc>
      </w:tr>
      <w:tr w:rsidR="503307BC" w:rsidTr="38C1A015" w14:paraId="2F214347">
        <w:trPr>
          <w:trHeight w:val="1080"/>
        </w:trPr>
        <w:tc>
          <w:tcPr>
            <w:tcW w:w="4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503307BC" w:rsidP="38C1A015" w:rsidRDefault="503307BC" w14:paraId="7DF2C240" w14:textId="4861026B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8C1A015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Tables for </w:t>
            </w:r>
            <w:r w:rsidRPr="38C1A015" w:rsidR="68656DF0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B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usiness</w:t>
            </w:r>
          </w:p>
          <w:p w:rsidR="503307BC" w:rsidP="503307BC" w:rsidRDefault="503307BC" w14:paraId="477B3B70" w14:textId="1E1C3904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03307BC" w:rsidP="503307BC" w:rsidRDefault="503307BC" w14:paraId="63516CCC" w14:textId="12A11EBF">
            <w:pPr>
              <w:spacing w:line="256" w:lineRule="auto"/>
              <w:jc w:val="center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="503307BC">
              <w:drawing>
                <wp:inline wp14:editId="31F24772" wp14:anchorId="76E58D1C">
                  <wp:extent cx="2314575" cy="1228725"/>
                  <wp:effectExtent l="0" t="0" r="0" b="0"/>
                  <wp:docPr id="17486026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039be46943d42d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03307BC" w:rsidP="38C1A015" w:rsidRDefault="503307BC" w14:paraId="2AA89F08" w14:textId="6225C775">
            <w:pPr>
              <w:spacing w:line="256" w:lineRule="auto"/>
              <w:jc w:val="both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Tables for Business prides itself on offering a service driven approach to office space furniture suitable for all. Founded in 2016 by Paul Davis and Dan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Lerpiniere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, the company is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extensive and expansive in its offering from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initial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ideation &amp; design through to manufacture, project management and install. By working closely with Architects, Interior Designers and Dealerships we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are able to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understand the client’s exact requirements </w:t>
            </w:r>
            <w:r w:rsidRPr="38C1A015" w:rsidR="503307BC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in delivering a dream space.</w:t>
            </w:r>
            <w:r w:rsidRPr="38C1A015" w:rsidR="7B9C23C6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 Interns can ger involved with supporting sales projects, social media marketing, and even designing furniture.</w:t>
            </w:r>
          </w:p>
        </w:tc>
      </w:tr>
    </w:tbl>
    <w:p xmlns:wp14="http://schemas.microsoft.com/office/word/2010/wordml" w:rsidP="503307BC" wp14:paraId="3923E411" wp14:textId="193DEA1E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3307BC" wp14:paraId="67610764" wp14:textId="08F7D363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POTENTIAL PROJECT OPPORTUNITIES </w:t>
      </w:r>
    </w:p>
    <w:p xmlns:wp14="http://schemas.microsoft.com/office/word/2010/wordml" w:rsidP="503307BC" wp14:paraId="3B14DC47" wp14:textId="37A4AE83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Project opportunities will be dependent upon the current needs within the organisation and the demonstrated skills and abilities shown by each intern. It is imperative to remember that project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opportunities will develop over time and throughout internship placements. Projects may include but are not limited to:</w:t>
      </w:r>
    </w:p>
    <w:tbl>
      <w:tblPr>
        <w:tblStyle w:val="TableNormal"/>
        <w:tblW w:w="0" w:type="auto"/>
        <w:jc w:val="center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540"/>
      </w:tblGrid>
      <w:tr w:rsidR="503307BC" w:rsidTr="503307BC" w14:paraId="1F9C78A6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3E588A24" w14:textId="78343B21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 xml:space="preserve">Client Presentations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027000C7" w14:textId="3B095555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Drafting Business Documents</w:t>
            </w:r>
          </w:p>
        </w:tc>
      </w:tr>
      <w:tr w:rsidR="503307BC" w:rsidTr="503307BC" w14:paraId="51AAC234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6962FB79" w14:textId="7F2A1654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Commercial Research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0827924F" w14:textId="33578BAE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 xml:space="preserve">Event Coordination </w:t>
            </w:r>
          </w:p>
        </w:tc>
      </w:tr>
      <w:tr w:rsidR="503307BC" w:rsidTr="503307BC" w14:paraId="5B67FD2A">
        <w:trPr>
          <w:trHeight w:val="4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5DDB01E5" w14:textId="511F60DD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Creation of Marketing Materials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46E87E1E" w14:textId="52413ABC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Office Administration</w:t>
            </w:r>
          </w:p>
        </w:tc>
      </w:tr>
      <w:tr w:rsidR="503307BC" w:rsidTr="503307BC" w14:paraId="25AC0C5F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20082828" w14:textId="5C5780AD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 xml:space="preserve">Database Management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5AC2C165" w14:textId="2D30D859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Sales</w:t>
            </w:r>
          </w:p>
        </w:tc>
      </w:tr>
      <w:tr w:rsidR="503307BC" w:rsidTr="503307BC" w14:paraId="6918DF2F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73584955" w14:textId="6D8142E1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Developing Reports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478104BF" w14:textId="2ADA2446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Social Media Development</w:t>
            </w:r>
          </w:p>
        </w:tc>
      </w:tr>
    </w:tbl>
    <w:p xmlns:wp14="http://schemas.microsoft.com/office/word/2010/wordml" w:rsidP="503307BC" wp14:paraId="0EC0524E" wp14:textId="05B5396E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03307BC" wp14:paraId="46AA1E3D" wp14:textId="58BF1E60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TRANSFERABLE SKILLS</w:t>
      </w:r>
    </w:p>
    <w:p xmlns:wp14="http://schemas.microsoft.com/office/word/2010/wordml" w:rsidP="503307BC" wp14:paraId="705F641D" wp14:textId="212AC3F8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It is essential to maximise every opportunity within the internship placements. If tasks and duties are approached in a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professional manner, interns can take away additions skills and abilities that will be of benefit to their personal and professional development. Transferable skills set include but are not limited to:</w:t>
      </w:r>
    </w:p>
    <w:tbl>
      <w:tblPr>
        <w:tblStyle w:val="TableNormal"/>
        <w:tblW w:w="0" w:type="auto"/>
        <w:jc w:val="center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540"/>
      </w:tblGrid>
      <w:tr w:rsidR="503307BC" w:rsidTr="503307BC" w14:paraId="6EF47ED1"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16C88E2C" w14:textId="6674D090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Analytical Skills</w:t>
            </w:r>
          </w:p>
          <w:p w:rsidR="503307BC" w:rsidP="503307BC" w:rsidRDefault="503307BC" w14:paraId="123AB10C" w14:textId="7038B8EB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45297A97" w14:textId="5F5C4A99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IT Technical Skills</w:t>
            </w:r>
          </w:p>
        </w:tc>
      </w:tr>
      <w:tr w:rsidR="503307BC" w:rsidTr="503307BC" w14:paraId="0F0F974A"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5318BBEF" w14:textId="6000C9DD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Business Acumen</w:t>
            </w:r>
          </w:p>
          <w:p w:rsidR="503307BC" w:rsidP="503307BC" w:rsidRDefault="503307BC" w14:paraId="7356C805" w14:textId="73143429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09CE0F10" w14:textId="47BE05FF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Networking</w:t>
            </w:r>
          </w:p>
        </w:tc>
      </w:tr>
      <w:tr w:rsidR="503307BC" w:rsidTr="503307BC" w14:paraId="1C0467FC"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0D83FF19" w14:textId="319D346A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Commercial-Awareness</w:t>
            </w:r>
          </w:p>
          <w:p w:rsidR="503307BC" w:rsidP="503307BC" w:rsidRDefault="503307BC" w14:paraId="5FCAF340" w14:textId="684B338C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61B31AC7" w14:textId="2BEC8865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Presenting</w:t>
            </w:r>
          </w:p>
        </w:tc>
      </w:tr>
      <w:tr w:rsidR="503307BC" w:rsidTr="503307BC" w14:paraId="2F61E479"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7CC783C3" w14:textId="09D78F47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Communications</w:t>
            </w:r>
          </w:p>
          <w:p w:rsidR="503307BC" w:rsidP="503307BC" w:rsidRDefault="503307BC" w14:paraId="3976AA19" w14:textId="6683678F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26140B7C" w14:textId="60074C49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Problem Solving</w:t>
            </w:r>
          </w:p>
        </w:tc>
      </w:tr>
      <w:tr w:rsidR="503307BC" w:rsidTr="503307BC" w14:paraId="444FEBEE"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6984362E" w14:textId="584AE83D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Identifying</w:t>
            </w: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 xml:space="preserve"> Solutions</w:t>
            </w:r>
          </w:p>
          <w:p w:rsidR="503307BC" w:rsidP="503307BC" w:rsidRDefault="503307BC" w14:paraId="0141A2FF" w14:textId="43D37D33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07035C05" w14:textId="660D76B6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Project Leadership</w:t>
            </w:r>
          </w:p>
        </w:tc>
      </w:tr>
      <w:tr w:rsidR="503307BC" w:rsidTr="503307BC" w14:paraId="022EAFD2"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296CD976" w14:textId="7A0813F5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Organisation Research</w:t>
            </w:r>
          </w:p>
          <w:p w:rsidR="503307BC" w:rsidP="503307BC" w:rsidRDefault="503307BC" w14:paraId="25F411DD" w14:textId="24E90119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2F44BF36" w14:textId="72809600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Teamwork</w:t>
            </w:r>
          </w:p>
        </w:tc>
      </w:tr>
      <w:tr w:rsidR="503307BC" w:rsidTr="503307BC" w14:paraId="3BB9D5FC"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0FD5AA22" w14:textId="6C221675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Interaction &amp; Liaison Skills</w:t>
            </w:r>
          </w:p>
          <w:p w:rsidR="503307BC" w:rsidP="503307BC" w:rsidRDefault="503307BC" w14:paraId="17E6C0EC" w14:textId="65D68274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  <w:vAlign w:val="top"/>
          </w:tcPr>
          <w:p w:rsidR="503307BC" w:rsidP="503307BC" w:rsidRDefault="503307BC" w14:paraId="4357A9DA" w14:textId="4C55C0C4">
            <w:pPr>
              <w:spacing w:after="0" w:line="240" w:lineRule="auto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03307BC" w:rsidR="503307BC">
              <w:rPr>
                <w:rFonts w:ascii="Franklin Gothic Book" w:hAnsi="Franklin Gothic Book" w:eastAsia="Franklin Gothic Book" w:cs="Franklin Gothic Book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Time Management</w:t>
            </w:r>
          </w:p>
        </w:tc>
      </w:tr>
    </w:tbl>
    <w:p xmlns:wp14="http://schemas.microsoft.com/office/word/2010/wordml" w:rsidP="503307BC" wp14:paraId="36EE0831" wp14:textId="152A0CDA">
      <w:pPr>
        <w:spacing w:after="160" w:line="256" w:lineRule="auto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03307BC" wp14:paraId="1F90D6E8" wp14:textId="1AAA7A5E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NACE CAREER READINESS </w:t>
      </w:r>
      <w:r w:rsidRPr="503307BC" w:rsidR="06B32A01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COMPETENCIES</w:t>
      </w:r>
    </w:p>
    <w:p xmlns:wp14="http://schemas.microsoft.com/office/word/2010/wordml" w:rsidP="503307BC" wp14:paraId="4AF6D7A3" wp14:textId="2146EC5E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Through the internship and extra-curricular activities, CEA CAPA work to help students develop the following skills:  </w:t>
      </w:r>
    </w:p>
    <w:p xmlns:wp14="http://schemas.microsoft.com/office/word/2010/wordml" w:rsidP="503307BC" wp14:paraId="334F5605" wp14:textId="6BE91BA0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1.</w:t>
      </w:r>
      <w:r>
        <w:tab/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Career and Self-Development: The ability to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demonstrate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requisite core competencies to develop oneself and one’s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career through continual personal and professional learning, awareness of one’s strengths and weaknesses, navigation of career opportunities, and networking to build relationships within and without one’s organization</w:t>
      </w:r>
    </w:p>
    <w:p xmlns:wp14="http://schemas.microsoft.com/office/word/2010/wordml" w:rsidP="503307BC" wp14:paraId="6262EEF9" wp14:textId="1ABC30A0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2.</w:t>
      </w:r>
      <w:r>
        <w:tab/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Communications: The ability to rece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ive, interpret and articulate information and ideas clearly and effectively. </w:t>
      </w:r>
    </w:p>
    <w:p xmlns:wp14="http://schemas.microsoft.com/office/word/2010/wordml" w:rsidP="503307BC" wp14:paraId="76A3605B" wp14:textId="0B2F4CF5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3.</w:t>
      </w:r>
      <w:r>
        <w:tab/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Critical Thinking: The ability to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identify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respond to needs based upon an understanding of situational context and logical analysis of relevant information.</w:t>
      </w:r>
    </w:p>
    <w:p xmlns:wp14="http://schemas.microsoft.com/office/word/2010/wordml" w:rsidP="503307BC" wp14:paraId="2185A116" wp14:textId="4177A7A2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</w:t>
      </w:r>
      <w:r>
        <w:tab/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Equity and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Inclusion: To develop an understanding of oneself, others and to embrace and appreciate diverse and complex perspectives,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values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beliefs.</w:t>
      </w:r>
    </w:p>
    <w:p xmlns:wp14="http://schemas.microsoft.com/office/word/2010/wordml" w:rsidP="503307BC" wp14:paraId="6FAFABE6" wp14:textId="1775ECBB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5.</w:t>
      </w:r>
      <w:r>
        <w:tab/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Leadership: The ability to recognize and capitalize on personal and team strengths to achieve organizational go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als.</w:t>
      </w:r>
    </w:p>
    <w:p xmlns:wp14="http://schemas.microsoft.com/office/word/2010/wordml" w:rsidP="503307BC" wp14:paraId="1D607F96" wp14:textId="0B510BBB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6.</w:t>
      </w:r>
      <w:r>
        <w:tab/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Professionalism: The ability to acknowledge work environments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differ greatly, understand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and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demonstrate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effective work habits, and act in the interest of the larger community and workplace.</w:t>
      </w:r>
    </w:p>
    <w:p xmlns:wp14="http://schemas.microsoft.com/office/word/2010/wordml" w:rsidP="503307BC" wp14:paraId="568F69A6" wp14:textId="1F694507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</w:t>
      </w:r>
      <w:r>
        <w:tab/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Teamwork: The ability to build and 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maintain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collabora</w:t>
      </w:r>
      <w:r w:rsidRPr="503307BC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tive relationships to work effectively toward common goals, while appreciating diverse viewpoints and shared responsibilities.</w:t>
      </w:r>
    </w:p>
    <w:p xmlns:wp14="http://schemas.microsoft.com/office/word/2010/wordml" w:rsidP="38C1A015" wp14:paraId="2C078E63" wp14:textId="53EDA86B">
      <w:pPr>
        <w:spacing w:after="160" w:line="256" w:lineRule="auto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C1A015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8.</w:t>
      </w:r>
      <w:r>
        <w:tab/>
      </w:r>
      <w:r w:rsidRPr="38C1A015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Technology: The ability to understand and </w:t>
      </w:r>
      <w:r w:rsidRPr="38C1A015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leverage</w:t>
      </w:r>
      <w:r w:rsidRPr="38C1A015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technologies ethically to enhance efficiencies, complete tasks, and </w:t>
      </w:r>
      <w:r w:rsidRPr="38C1A015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accompl</w:t>
      </w:r>
      <w:r w:rsidRPr="38C1A015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ish</w:t>
      </w:r>
      <w:r w:rsidRPr="38C1A015" w:rsidR="06B32A0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goals.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8EBFF7"/>
    <w:rsid w:val="0677C615"/>
    <w:rsid w:val="06B32A01"/>
    <w:rsid w:val="09C1D362"/>
    <w:rsid w:val="0B5DA3C3"/>
    <w:rsid w:val="0E954485"/>
    <w:rsid w:val="183A9203"/>
    <w:rsid w:val="19462C8B"/>
    <w:rsid w:val="19593951"/>
    <w:rsid w:val="2446E86F"/>
    <w:rsid w:val="25667D2F"/>
    <w:rsid w:val="38C1A015"/>
    <w:rsid w:val="3CF73E95"/>
    <w:rsid w:val="418EBFF7"/>
    <w:rsid w:val="435DD4F9"/>
    <w:rsid w:val="4455164D"/>
    <w:rsid w:val="46140A96"/>
    <w:rsid w:val="4C4770D4"/>
    <w:rsid w:val="4ECF7757"/>
    <w:rsid w:val="503307BC"/>
    <w:rsid w:val="56D65859"/>
    <w:rsid w:val="589CDFE7"/>
    <w:rsid w:val="5A38B048"/>
    <w:rsid w:val="5DA4CBFC"/>
    <w:rsid w:val="5F0C216B"/>
    <w:rsid w:val="61A25183"/>
    <w:rsid w:val="668E428C"/>
    <w:rsid w:val="68656DF0"/>
    <w:rsid w:val="72F3D9BA"/>
    <w:rsid w:val="7343AD33"/>
    <w:rsid w:val="74117C28"/>
    <w:rsid w:val="7B9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3D84"/>
  <w15:chartTrackingRefBased/>
  <w15:docId w15:val="{70D1904A-F7C0-4E49-8BFC-69554E3B64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5.png" Id="R5039be46943d42d3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3.png" Id="R58f13a8d22b149c7" /><Relationship Type="http://schemas.openxmlformats.org/officeDocument/2006/relationships/styles" Target="styles.xml" Id="rId1" /><Relationship Type="http://schemas.openxmlformats.org/officeDocument/2006/relationships/image" Target="/media/image2.png" Id="R35562b4652754dbd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4.png" Id="R810111de62ef4ed0" /><Relationship Type="http://schemas.openxmlformats.org/officeDocument/2006/relationships/image" Target="/media/image.png" Id="R129cc54a831d4bd8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E071FB6A6B43957B7307314E251A" ma:contentTypeVersion="9" ma:contentTypeDescription="Create a new document." ma:contentTypeScope="" ma:versionID="14377e9e0e5e582e480dffe87716fec2">
  <xsd:schema xmlns:xsd="http://www.w3.org/2001/XMLSchema" xmlns:xs="http://www.w3.org/2001/XMLSchema" xmlns:p="http://schemas.microsoft.com/office/2006/metadata/properties" xmlns:ns2="6b7000de-6d6b-46b0-ac60-bf5644e6c884" xmlns:ns3="b31a3e4c-57ef-434b-ba6b-dd976f549742" targetNamespace="http://schemas.microsoft.com/office/2006/metadata/properties" ma:root="true" ma:fieldsID="1fd4b2e3b8ff3995154ae6ee78a3045b" ns2:_="" ns3:_="">
    <xsd:import namespace="6b7000de-6d6b-46b0-ac60-bf5644e6c884"/>
    <xsd:import namespace="b31a3e4c-57ef-434b-ba6b-dd976f5497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000de-6d6b-46b0-ac60-bf5644e6c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a3e4c-57ef-434b-ba6b-dd976f54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7D0BA-6C5B-4FB1-B87F-8AE968AC7206}"/>
</file>

<file path=customXml/itemProps2.xml><?xml version="1.0" encoding="utf-8"?>
<ds:datastoreItem xmlns:ds="http://schemas.openxmlformats.org/officeDocument/2006/customXml" ds:itemID="{7AB5310A-5B52-4FC4-8EC2-B97763748ADB}"/>
</file>

<file path=customXml/itemProps3.xml><?xml version="1.0" encoding="utf-8"?>
<ds:datastoreItem xmlns:ds="http://schemas.openxmlformats.org/officeDocument/2006/customXml" ds:itemID="{01885D0B-B4A6-4270-BF52-DD276E81C9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Tasnim Zaman</dc:creator>
  <keywords/>
  <dc:description/>
  <lastModifiedBy>Patrick Gorman</lastModifiedBy>
  <dcterms:created xsi:type="dcterms:W3CDTF">2023-08-17T11:45:10.0000000Z</dcterms:created>
  <dcterms:modified xsi:type="dcterms:W3CDTF">2023-10-10T10:09:02.8273409Z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0x0101002E4FE071FB6A6B43957B7307314E251A</vt:lpwstr>
  </property>
</Properties>
</file>